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143</w:t>
      </w:r>
    </w:p>
    <w:p>
      <w:r>
        <w:t>Bundesgericht (BGE), 1965-06-29, FR</w:t>
      </w:r>
    </w:p>
    <w:p>
      <w:r>
        <w:rPr>
          <w:b/>
        </w:rPr>
        <w:t xml:space="preserve">Quelle: </w:t>
      </w:r>
      <w:r>
        <w:t>https://mcp.opencaselaw.ch/entscheid/bge_91 II 143</w:t>
      </w:r>
    </w:p>
    <w:p>
      <w:r>
        <w:t>FR: ATF 91 II 143</w:t>
      </w:r>
    </w:p>
    <w:p>
      <w:r>
        <w:t>IT: DTF 91 II 143</w:t>
      </w:r>
    </w:p>
    <w:p>
      <w:pPr>
        <w:pStyle w:val="Heading2"/>
      </w:pPr>
      <w:r>
        <w:t>Regeste</w:t>
      </w:r>
    </w:p>
    <w:p>
      <w:r>
        <w:t>Regeste Art. 94 OG; Art. 84 Abs. 1 und 2 BZP. Rechtsnatur der im staatsrechtlichen Beschwerdeverfahren angeordneten vorsorglichen Verfügungen; Zuständigkeit des Bundesgerichts zur Beurteilung von Ansprüchen auf Ersatz des durch den Vollzug dieser Verfügungen verursachten Schadens (Erw. 1 und 2). Kausale und solidarische Haftung von Streitgenossen (Erw. 3 und 4).</w:t>
      </w:r>
    </w:p>
    <w:p>
      <w:pPr>
        <w:pStyle w:val="Heading2"/>
      </w:pPr>
      <w:r>
        <w:t>Erwägungen</w:t>
      </w:r>
    </w:p>
    <w:p>
      <w:r>
        <w:rPr>
          <w:b/>
        </w:rPr>
        <w:t>E. 1</w:t>
      </w:r>
    </w:p>
    <w:p>
      <w:r>
        <w:t>A la demande d'une partie, le président du tribunal peut, après avoir reçu l'acte du recours de droit public, ordonner les mesures provisionnelles nécessaires au maintien de l'état de fait ou à la sauvegarde des intérêts compromis (art. 94 OJ). Le texte BGE 91 II 143 S. 145 même de cette disposition et sa note marginale ("mesures provisionnelles") appellent d'emblée l'application, à titre supplétif (art. 40 OJ), des règles de la loi de procédure civile fédérale sur les mesures provisionnelles ( art. 79 sv . PCF; BIRCHMEIER, Bundesrechtspflege, p. 401). Si le renvoi vise les dispositions "de procédure", il s'entend néanmoins dans un sens large, qui comprend la réparation du dommage causé par les mesures prises (art. 84 PCF). Cette solution est conforme à la nature du recours de droit public. Voie de droit extraordinaire n'ayant en règle générale qu'une fonction de cassation, celui-ci n'a pas d'effet suspensif. Certes, l'on évitera souvent que l'arrêt du Tribunal fédéral se heurte au fait accompli par la suspension, totale ou partielle, de l'exécution de la décision attaquée; mais il n'en reste pas moins que les mesures conservatoires sont analogues à celles que le juge civil ordonne en cours d'instance. En effet, encore que la doctrine réserve parfois certaines hypothèses (BONNARD, Problèmes relatifs au recours de droit public, RDS 1962, p. 387/388, no 10), la jurisprudence constante admet très généralement que le recours de droit public, dépourvu d'effet dévolutif, ne continue pas la procédure, judiciaire ou administrative, qui s'est déroulée devant les autorités cantonales, mais introduit une instance indépendante destinée à examiner la constitutionnalité de l'acte de souveraineté du pouvoir cantonal (RO 86 I 102 consid. 3, 83 I 272 consid. 2). On ne statue pas à nouveau sur l'objet de la décision attaquée, que l'on ne revoit pas comme telle, fût-ce sous un angle restreint (BIRCHMEIER, op.cit., p. 401 et 358 ch. 2 lettre b; RO 70 I 155, 65 I 131, 59 I 80). Naturelle, l'application de l'art. 84 PCF est aussi équitable. Les mesures provisionnelles prises à la requête d'une partie peuvent causer un préjudice considérable. En l'espèce, seule la rapidité avec laquelle la cour de droit public a statué a limité le dommage. Pour les motifs qui imposent la règle du procès civil, la partie qui le cause doit en répondre lorsque le recours est rejeté ou irrecevable ("nicht zu Recht bestand", dit l'art. 84 OJ), d'autant que le juge statue prima facie sans examiner le fond. L'obligation de réparer (et de fournir des sûretés: art. 82 al. 2 et 84 al. 3 PCF) est le corollaire nécessaire de la décision provoquée par le recourant pour la sauvegarde de ses droits, faute de quoi le juge hésiterait souvent à appliquer l'art. 94 OJ, par crainte de causer un préjudice irréparable; cette réserve BGE 91 II 143 S. 146 serait même plus grande que dans un procès civil, car le recours de droit public attaque une décision cantonale en force, qui est présumée conforme à la constitution: c'est une raison de plus d'appliquer l'art. 84 PCF.</w:t>
      </w:r>
    </w:p>
    <w:p>
      <w:r>
        <w:rPr>
          <w:b/>
        </w:rPr>
        <w:t>E. 2</w:t>
      </w:r>
    </w:p>
    <w:p>
      <w:r>
        <w:t>Il suit de là que le Tribunal fédéral est compétent (art. 84 al. 2 PCF). La Ie Cour civile a été chargée de traiter l'affaire.</w:t>
      </w:r>
    </w:p>
    <w:p>
      <w:r>
        <w:rPr>
          <w:b/>
        </w:rPr>
        <w:t>E. 3</w:t>
      </w:r>
    </w:p>
    <w:p>
      <w:r>
        <w:t>La décision du 2 août 1963 est une mesure provisionnelle urgente, que le président de la cour de droit public se réservait de revoir après avoir reçu les déterminations des intimés. Elle a été prise en vertu de l'art. 94 OJ, à la demande des recourants. La requête est du 26 juillet. La lettre du 30 la rappelait, avisait l'autorité du début des travaux et attirait son attention sur l'urgence de la mesure; ce n'est point un retrait de la requête, mais une invitation à y faire droit dans le plus bref délai. Les défendeurs soutiennent en vain qu'ils n'auraient commis aucune faute: leur responsabilité, fondée sur l'art. 84 PCF, n'en dépend pas (RO 88 II 279).</w:t>
      </w:r>
    </w:p>
    <w:p>
      <w:r>
        <w:rPr>
          <w:b/>
        </w:rPr>
        <w:t>E. 4</w:t>
      </w:r>
    </w:p>
    <w:p>
      <w:r>
        <w:t>La responsabilité des défendeurs est solidaire, en raison de leur consorité dans la procédure du recours de droit public, analogue à la société simple (cf. art. 156 al. 7 et 159 al.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